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5" w:rsidRDefault="00456B26">
      <w:pPr>
        <w:pStyle w:val="a3"/>
        <w:widowControl/>
        <w:spacing w:line="555" w:lineRule="atLeast"/>
      </w:pPr>
      <w:r>
        <w:rPr>
          <w:rFonts w:ascii="黑体" w:eastAsia="黑体" w:hAnsi="宋体" w:cs="黑体"/>
          <w:color w:val="000000"/>
          <w:sz w:val="30"/>
          <w:szCs w:val="30"/>
        </w:rPr>
        <w:t>附件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>1：</w:t>
      </w:r>
    </w:p>
    <w:p w:rsidR="00425E05" w:rsidRDefault="00425E05">
      <w:pPr>
        <w:pStyle w:val="a3"/>
        <w:widowControl/>
      </w:pPr>
    </w:p>
    <w:tbl>
      <w:tblPr>
        <w:tblW w:w="8835" w:type="dxa"/>
        <w:tblInd w:w="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  <w:gridCol w:w="1305"/>
        <w:gridCol w:w="2190"/>
      </w:tblGrid>
      <w:tr w:rsidR="00425E05">
        <w:trPr>
          <w:trHeight w:val="450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政府信息公开情况统计表</w:t>
            </w:r>
          </w:p>
        </w:tc>
      </w:tr>
      <w:tr w:rsidR="00425E05">
        <w:trPr>
          <w:trHeight w:val="37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E05" w:rsidRDefault="00456B26" w:rsidP="00411B2C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（20</w:t>
            </w:r>
            <w:r w:rsidR="00411B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</w:rPr>
              <w:t>年度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425E05">
        <w:trPr>
          <w:trHeight w:val="37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8"/>
                <w:szCs w:val="28"/>
              </w:rPr>
              <w:t>填报单位：衢江区卫生健康局</w:t>
            </w:r>
          </w:p>
        </w:tc>
      </w:tr>
      <w:tr w:rsidR="00425E05">
        <w:trPr>
          <w:trHeight w:val="46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8"/>
                <w:szCs w:val="28"/>
              </w:rPr>
              <w:t>统　计　指　标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8"/>
                <w:szCs w:val="28"/>
              </w:rPr>
              <w:t>统计数</w:t>
            </w:r>
          </w:p>
        </w:tc>
      </w:tr>
      <w:tr w:rsidR="00425E05">
        <w:trPr>
          <w:trHeight w:val="34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一、主动公开情况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76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（一）主动公开政府信息数</w:t>
            </w:r>
          </w:p>
          <w:p w:rsidR="00425E05" w:rsidRDefault="00C27A7B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  </w:t>
            </w:r>
            <w:r w:rsidR="00456B26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（不同渠道和方式公开相同信息计1条）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1E4A">
            <w:pPr>
              <w:pStyle w:val="a3"/>
              <w:widowControl/>
              <w:textAlignment w:val="center"/>
            </w:pPr>
            <w:r>
              <w:rPr>
                <w:rFonts w:hint="eastAsia"/>
              </w:rPr>
              <w:t>550</w:t>
            </w:r>
          </w:p>
        </w:tc>
      </w:tr>
      <w:tr w:rsidR="00425E05">
        <w:trPr>
          <w:trHeight w:val="90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 　   其中：主动公开规范性文件数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pStyle w:val="a3"/>
              <w:widowControl/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    　制发规范性文件总数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（二）通过不同渠道和方式公开政府信息的情况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1.部门网站公开政府信息数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2.政府网站公开政府信息数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1E4A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240</w:t>
            </w: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3.政务微博公开政府信息数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4.政务微信公开政府信息数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59766B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310</w:t>
            </w: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5.其他方式公开政府信息数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二、回应解读情况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540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（一）回应公众关注热点或重大舆情数</w:t>
            </w:r>
          </w:p>
          <w:p w:rsidR="00425E05" w:rsidRDefault="00C27A7B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 </w:t>
            </w:r>
            <w:r w:rsidR="00456B26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（不同方式回应同一热点或舆情计1次）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（二）通过不同渠道和方式回应解读的情况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1.参加或举办新闻发布会总次数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 　　　　其中：主要负责同志参加新闻发布会次数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 xml:space="preserve">　 　　　2.政府网站在线访谈次数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106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 其中：主要负责同志参加政府网站在线访谈次数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3.政策解读稿件发布数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4.微博微信回应事件数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5.其他方式回应事件数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三、依申请公开情况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　（一）收到申请数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1.当面申请数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2.传真申请数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3.网络申请数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pStyle w:val="a3"/>
              <w:widowControl/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4.信函申请数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（二）申请办结数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1.按时办结数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2.延期办结数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　（三）申请答复数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1.属于已主动公开范围数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2.同意公开答复数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3.同意部分公开答复数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4.不同意公开答复数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  其中：涉及国家秘密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 xml:space="preserve">　　　　　　　涉及商业秘密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　　涉及个人隐私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540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　 　不是《条例》所指政府信息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　　　   　法律法规规定的其他情形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5.不属于本行政机关公开数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6.申请信息不存在数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7.告知作出更改补充数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8.告知通过其他途径办理数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四、行政复议数量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（一）维持具体行政行为数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 　（二）被依法纠错数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（三）其他情形数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五、行政诉讼数量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（一）维持具体行政行为或者驳回原告诉讼请求数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（二）被依法纠错数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（三）其他情形数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六、举报投诉数量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七、依申请公开信息收取的费用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万元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八、机构建设和保障经费情况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（一）政府信息公开工作专门机构数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 　（二）设置政府信息公开查阅点数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（三）从事政府信息公开工作人员数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</w:tr>
      <w:tr w:rsidR="00425E05">
        <w:trPr>
          <w:trHeight w:val="540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专职人员数（不包括政府公报及政府网站工作人员数）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　　　2.兼职人员数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</w:p>
        </w:tc>
      </w:tr>
      <w:tr w:rsidR="00425E05">
        <w:trPr>
          <w:trHeight w:val="540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（四）政府信息公开专项经费（不包括用于政府公报编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辑管理及政府网站建设维护等方面的经费）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万元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九、政府信息公开会议和培训情况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——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（一）召开政府信息公开工作会议或专题会议数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（二）举办各类培训班数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25E05">
            <w:pPr>
              <w:widowControl/>
              <w:jc w:val="left"/>
              <w:rPr>
                <w:rFonts w:ascii="sans-serif" w:eastAsia="sans-serif" w:hAnsi="sans-serif" w:cs="sans-serif"/>
                <w:sz w:val="24"/>
              </w:rPr>
            </w:pPr>
          </w:p>
        </w:tc>
      </w:tr>
      <w:tr w:rsidR="00425E05">
        <w:trPr>
          <w:trHeight w:val="285"/>
        </w:trPr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 （三）接受培训人员数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人次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5E05" w:rsidRDefault="00456B26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425E05">
        <w:trPr>
          <w:trHeight w:val="285"/>
        </w:trPr>
        <w:tc>
          <w:tcPr>
            <w:tcW w:w="88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E05" w:rsidRDefault="00456B26" w:rsidP="00851F59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单位负责人：刘峰   　　　 审核人：　   　　 填报人：</w:t>
            </w:r>
            <w:r w:rsidR="00851F59">
              <w:rPr>
                <w:rFonts w:ascii="宋体" w:eastAsia="宋体" w:hAnsi="宋体" w:cs="宋体" w:hint="eastAsia"/>
                <w:color w:val="000000"/>
              </w:rPr>
              <w:t>彭友生</w:t>
            </w:r>
            <w:r>
              <w:rPr>
                <w:rFonts w:ascii="宋体" w:eastAsia="宋体" w:hAnsi="宋体" w:cs="宋体" w:hint="eastAsia"/>
              </w:rPr>
              <w:t xml:space="preserve">　　　　　</w:t>
            </w:r>
          </w:p>
        </w:tc>
      </w:tr>
      <w:tr w:rsidR="00425E05">
        <w:trPr>
          <w:trHeight w:val="285"/>
        </w:trPr>
        <w:tc>
          <w:tcPr>
            <w:tcW w:w="88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E05" w:rsidRDefault="00456B26" w:rsidP="00851F59">
            <w:pPr>
              <w:pStyle w:val="a3"/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</w:rPr>
              <w:t>联系电话：383897</w:t>
            </w:r>
            <w:r w:rsidR="00851F59">
              <w:rPr>
                <w:rFonts w:ascii="宋体" w:eastAsia="宋体" w:hAnsi="宋体" w:cs="宋体" w:hint="eastAsia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　　　　　　　　　　　　填报日期：202</w:t>
            </w:r>
            <w:r w:rsidR="00851F59"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 w:rsidR="00851F59">
              <w:rPr>
                <w:rFonts w:ascii="宋体" w:eastAsia="宋体" w:hAnsi="宋体" w:cs="宋体" w:hint="eastAsia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月1</w:t>
            </w:r>
            <w:r w:rsidR="00851F59">
              <w:rPr>
                <w:rFonts w:ascii="宋体" w:eastAsia="宋体" w:hAnsi="宋体" w:cs="宋体" w:hint="eastAsia"/>
                <w:color w:val="00000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日　</w:t>
            </w:r>
          </w:p>
        </w:tc>
      </w:tr>
    </w:tbl>
    <w:p w:rsidR="00425E05" w:rsidRDefault="00456B26">
      <w:pPr>
        <w:pStyle w:val="a3"/>
        <w:widowControl/>
      </w:pPr>
      <w:r>
        <w:rPr>
          <w:rFonts w:ascii="Calibri" w:hAnsi="Calibri" w:cs="Calibri"/>
        </w:rPr>
        <w:t> </w:t>
      </w:r>
    </w:p>
    <w:p w:rsidR="00425E05" w:rsidRDefault="00425E05"/>
    <w:sectPr w:rsidR="00425E05" w:rsidSect="0042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0" w:rsidRDefault="00F443F0" w:rsidP="00411B2C">
      <w:r>
        <w:separator/>
      </w:r>
    </w:p>
  </w:endnote>
  <w:endnote w:type="continuationSeparator" w:id="0">
    <w:p w:rsidR="00F443F0" w:rsidRDefault="00F443F0" w:rsidP="0041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0" w:rsidRDefault="00F443F0" w:rsidP="00411B2C">
      <w:r>
        <w:separator/>
      </w:r>
    </w:p>
  </w:footnote>
  <w:footnote w:type="continuationSeparator" w:id="0">
    <w:p w:rsidR="00F443F0" w:rsidRDefault="00F443F0" w:rsidP="00411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0F74D9"/>
    <w:rsid w:val="00411B2C"/>
    <w:rsid w:val="00421E4A"/>
    <w:rsid w:val="00425E05"/>
    <w:rsid w:val="00456B26"/>
    <w:rsid w:val="0059766B"/>
    <w:rsid w:val="00851F59"/>
    <w:rsid w:val="00C27A7B"/>
    <w:rsid w:val="00E07725"/>
    <w:rsid w:val="00F443F0"/>
    <w:rsid w:val="5B0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E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E05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25E05"/>
    <w:rPr>
      <w:b/>
    </w:rPr>
  </w:style>
  <w:style w:type="character" w:styleId="a5">
    <w:name w:val="FollowedHyperlink"/>
    <w:basedOn w:val="a0"/>
    <w:rsid w:val="00425E05"/>
    <w:rPr>
      <w:color w:val="800080"/>
      <w:u w:val="single"/>
    </w:rPr>
  </w:style>
  <w:style w:type="character" w:styleId="a6">
    <w:name w:val="Hyperlink"/>
    <w:basedOn w:val="a0"/>
    <w:rsid w:val="00425E05"/>
    <w:rPr>
      <w:color w:val="0000FF"/>
      <w:u w:val="single"/>
    </w:rPr>
  </w:style>
  <w:style w:type="paragraph" w:styleId="a7">
    <w:name w:val="header"/>
    <w:basedOn w:val="a"/>
    <w:link w:val="Char"/>
    <w:rsid w:val="0041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11B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1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11B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2021-02-18T05:47:00Z</dcterms:created>
  <dcterms:modified xsi:type="dcterms:W3CDTF">2021-02-18T06:28:00Z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